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spacing w:line="360" w:lineRule="auto"/>
        <w:contextualSpacing w:val="0"/>
        <w:jc w:val="center"/>
        <w:rPr>
          <w:b w:val="1"/>
          <w:color w:val="bf8f00"/>
          <w:sz w:val="32"/>
          <w:szCs w:val="32"/>
        </w:rPr>
      </w:pPr>
      <w:r w:rsidDel="00000000" w:rsidR="00000000" w:rsidRPr="00000000">
        <w:rPr>
          <w:b w:val="1"/>
          <w:color w:val="bf8f00"/>
          <w:sz w:val="32"/>
          <w:szCs w:val="32"/>
          <w:rtl w:val="0"/>
        </w:rPr>
        <w:t xml:space="preserve">Specifications</w:t>
      </w:r>
    </w:p>
    <w:p w:rsidR="00000000" w:rsidDel="00000000" w:rsidP="00000000" w:rsidRDefault="00000000" w:rsidRPr="00000000" w14:paraId="00000001">
      <w:pPr>
        <w:spacing w:line="360" w:lineRule="auto"/>
        <w:contextualSpacing w:val="0"/>
        <w:rPr/>
      </w:pPr>
      <w:r w:rsidDel="00000000" w:rsidR="00000000" w:rsidRPr="00000000">
        <w:rPr>
          <w:rtl w:val="0"/>
        </w:rPr>
        <w:t xml:space="preserve"> </w:t>
      </w:r>
    </w:p>
    <w:p w:rsidR="00000000" w:rsidDel="00000000" w:rsidP="00000000" w:rsidRDefault="00000000" w:rsidRPr="00000000" w14:paraId="00000002">
      <w:pPr>
        <w:spacing w:line="360" w:lineRule="auto"/>
        <w:contextualSpacing w:val="0"/>
        <w:rPr>
          <w:b w:val="1"/>
        </w:rPr>
      </w:pPr>
      <w:r w:rsidDel="00000000" w:rsidR="00000000" w:rsidRPr="00000000">
        <w:rPr>
          <w:b w:val="1"/>
          <w:rtl w:val="0"/>
        </w:rPr>
        <w:t xml:space="preserve">Pick-up and Tip-up Body Specifications</w:t>
      </w:r>
    </w:p>
    <w:p w:rsidR="00000000" w:rsidDel="00000000" w:rsidP="00000000" w:rsidRDefault="00000000" w:rsidRPr="00000000" w14:paraId="00000003">
      <w:pPr>
        <w:spacing w:line="360" w:lineRule="auto"/>
        <w:contextualSpacing w:val="0"/>
        <w:rPr>
          <w:b w:val="1"/>
        </w:rPr>
      </w:pPr>
      <w:r w:rsidDel="00000000" w:rsidR="00000000" w:rsidRPr="00000000">
        <w:rPr>
          <w:b w:val="1"/>
          <w:rtl w:val="0"/>
        </w:rPr>
        <w:t xml:space="preserve"> </w:t>
      </w:r>
    </w:p>
    <w:tbl>
      <w:tblPr>
        <w:tblStyle w:val="Table1"/>
        <w:tblW w:w="735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090"/>
        <w:gridCol w:w="1440"/>
        <w:gridCol w:w="1380"/>
        <w:gridCol w:w="1440"/>
        <w:tblGridChange w:id="0">
          <w:tblGrid>
            <w:gridCol w:w="3090"/>
            <w:gridCol w:w="1440"/>
            <w:gridCol w:w="1380"/>
            <w:gridCol w:w="1440"/>
          </w:tblGrid>
        </w:tblGridChange>
      </w:tblGrid>
      <w:tr>
        <w:trPr>
          <w:trHeight w:val="640" w:hRule="atLeast"/>
        </w:trPr>
        <w:tc>
          <w:tcPr>
            <w:tcBorders>
              <w:top w:color="000000" w:space="0" w:sz="8" w:val="single"/>
              <w:left w:color="000000" w:space="0" w:sz="8" w:val="single"/>
              <w:bottom w:color="000000" w:space="0" w:sz="8" w:val="single"/>
              <w:right w:color="000000" w:space="0" w:sz="8" w:val="single"/>
            </w:tcBorders>
            <w:shd w:fill="ffc000" w:val="clear"/>
            <w:tcMar>
              <w:top w:w="100.0" w:type="dxa"/>
              <w:left w:w="100.0" w:type="dxa"/>
              <w:bottom w:w="100.0" w:type="dxa"/>
              <w:right w:w="100.0" w:type="dxa"/>
            </w:tcMar>
            <w:vAlign w:val="center"/>
          </w:tcPr>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b w:val="1"/>
              </w:rPr>
            </w:pPr>
            <w:r w:rsidDel="00000000" w:rsidR="00000000" w:rsidRPr="00000000">
              <w:rPr>
                <w:b w:val="1"/>
                <w:rtl w:val="0"/>
              </w:rPr>
              <w:t xml:space="preserve">Body Type</w:t>
            </w:r>
          </w:p>
        </w:tc>
        <w:tc>
          <w:tcPr>
            <w:tcBorders>
              <w:top w:color="000000" w:space="0" w:sz="8" w:val="single"/>
              <w:left w:color="000000" w:space="0" w:sz="0" w:val="nil"/>
              <w:bottom w:color="000000" w:space="0" w:sz="8" w:val="single"/>
              <w:right w:color="000000" w:space="0" w:sz="8" w:val="single"/>
            </w:tcBorders>
            <w:shd w:fill="ffc000" w:val="clear"/>
            <w:tcMar>
              <w:top w:w="100.0" w:type="dxa"/>
              <w:left w:w="100.0" w:type="dxa"/>
              <w:bottom w:w="100.0" w:type="dxa"/>
              <w:right w:w="100.0" w:type="dxa"/>
            </w:tcMar>
            <w:vAlign w:val="center"/>
          </w:tcPr>
          <w:p w:rsidR="00000000" w:rsidDel="00000000" w:rsidP="00000000" w:rsidRDefault="00000000" w:rsidRPr="00000000" w14:paraId="00000005">
            <w:pPr>
              <w:contextualSpacing w:val="0"/>
              <w:jc w:val="center"/>
              <w:rPr>
                <w:b w:val="1"/>
              </w:rPr>
            </w:pPr>
            <w:r w:rsidDel="00000000" w:rsidR="00000000" w:rsidRPr="00000000">
              <w:rPr>
                <w:b w:val="1"/>
                <w:rtl w:val="0"/>
              </w:rPr>
              <w:t xml:space="preserve">Pick-up</w:t>
            </w:r>
          </w:p>
        </w:tc>
        <w:tc>
          <w:tcPr>
            <w:tcBorders>
              <w:top w:color="000000" w:space="0" w:sz="8" w:val="single"/>
              <w:left w:color="000000" w:space="0" w:sz="0" w:val="nil"/>
              <w:bottom w:color="000000" w:space="0" w:sz="8" w:val="single"/>
              <w:right w:color="000000" w:space="0" w:sz="8" w:val="single"/>
            </w:tcBorders>
            <w:shd w:fill="ffc000" w:val="clear"/>
            <w:tcMar>
              <w:top w:w="20.0" w:type="dxa"/>
              <w:left w:w="20.0" w:type="dxa"/>
              <w:bottom w:w="20.0" w:type="dxa"/>
              <w:right w:w="20.0" w:type="dxa"/>
            </w:tcMar>
            <w:vAlign w:val="center"/>
          </w:tcPr>
          <w:p w:rsidR="00000000" w:rsidDel="00000000" w:rsidP="00000000" w:rsidRDefault="00000000" w:rsidRPr="00000000" w14:paraId="00000006">
            <w:pPr>
              <w:contextualSpacing w:val="0"/>
              <w:jc w:val="center"/>
              <w:rPr>
                <w:b w:val="1"/>
              </w:rPr>
            </w:pPr>
            <w:r w:rsidDel="00000000" w:rsidR="00000000" w:rsidRPr="00000000">
              <w:rPr>
                <w:b w:val="1"/>
                <w:rtl w:val="0"/>
              </w:rPr>
              <w:t xml:space="preserve">Pick-up</w:t>
            </w:r>
          </w:p>
        </w:tc>
        <w:tc>
          <w:tcPr>
            <w:tcBorders>
              <w:top w:color="000000" w:space="0" w:sz="8" w:val="single"/>
              <w:left w:color="000000" w:space="0" w:sz="0" w:val="nil"/>
              <w:bottom w:color="000000" w:space="0" w:sz="8" w:val="single"/>
              <w:right w:color="000000" w:space="0" w:sz="8" w:val="single"/>
            </w:tcBorders>
            <w:shd w:fill="ffc000" w:val="clear"/>
            <w:tcMar>
              <w:top w:w="100.0" w:type="dxa"/>
              <w:left w:w="100.0" w:type="dxa"/>
              <w:bottom w:w="100.0" w:type="dxa"/>
              <w:right w:w="100.0" w:type="dxa"/>
            </w:tcMar>
            <w:vAlign w:val="center"/>
          </w:tcPr>
          <w:p w:rsidR="00000000" w:rsidDel="00000000" w:rsidP="00000000" w:rsidRDefault="00000000" w:rsidRPr="00000000" w14:paraId="00000007">
            <w:pPr>
              <w:contextualSpacing w:val="0"/>
              <w:jc w:val="center"/>
              <w:rPr>
                <w:b w:val="1"/>
              </w:rPr>
            </w:pPr>
            <w:r w:rsidDel="00000000" w:rsidR="00000000" w:rsidRPr="00000000">
              <w:rPr>
                <w:b w:val="1"/>
                <w:rtl w:val="0"/>
              </w:rPr>
              <w:t xml:space="preserve">Tip-up</w:t>
            </w:r>
          </w:p>
        </w:tc>
      </w:tr>
      <w:tr>
        <w:trPr>
          <w:trHeight w:val="540" w:hRule="atLeast"/>
        </w:trPr>
        <w:tc>
          <w:tcPr>
            <w:tcBorders>
              <w:top w:color="000000" w:space="0" w:sz="0" w:val="nil"/>
              <w:left w:color="000000" w:space="0" w:sz="8" w:val="single"/>
              <w:bottom w:color="000000" w:space="0" w:sz="8" w:val="single"/>
              <w:right w:color="000000" w:space="0" w:sz="8" w:val="single"/>
            </w:tcBorders>
            <w:shd w:fill="ffc000" w:val="clear"/>
            <w:tcMar>
              <w:top w:w="100.0" w:type="dxa"/>
              <w:left w:w="100.0" w:type="dxa"/>
              <w:bottom w:w="100.0" w:type="dxa"/>
              <w:right w:w="100.0" w:type="dxa"/>
            </w:tcMar>
            <w:vAlign w:val="center"/>
          </w:tcPr>
          <w:p w:rsidR="00000000" w:rsidDel="00000000" w:rsidP="00000000" w:rsidRDefault="00000000" w:rsidRPr="00000000" w14:paraId="00000008">
            <w:pPr>
              <w:contextualSpacing w:val="0"/>
              <w:rPr>
                <w:b w:val="1"/>
              </w:rPr>
            </w:pPr>
            <w:r w:rsidDel="00000000" w:rsidR="00000000" w:rsidRPr="00000000">
              <w:rPr>
                <w:b w:val="1"/>
                <w:rtl w:val="0"/>
              </w:rPr>
              <w:t xml:space="preserve">Cab Style</w:t>
            </w:r>
          </w:p>
        </w:tc>
        <w:tc>
          <w:tcPr>
            <w:tcBorders>
              <w:top w:color="000000" w:space="0" w:sz="0" w:val="nil"/>
              <w:left w:color="000000" w:space="0" w:sz="0" w:val="nil"/>
              <w:bottom w:color="000000" w:space="0" w:sz="8" w:val="single"/>
              <w:right w:color="000000" w:space="0" w:sz="8" w:val="single"/>
            </w:tcBorders>
            <w:shd w:fill="ffc000" w:val="clear"/>
            <w:tcMar>
              <w:top w:w="100.0" w:type="dxa"/>
              <w:left w:w="100.0" w:type="dxa"/>
              <w:bottom w:w="100.0" w:type="dxa"/>
              <w:right w:w="100.0" w:type="dxa"/>
            </w:tcMar>
            <w:vAlign w:val="center"/>
          </w:tcPr>
          <w:p w:rsidR="00000000" w:rsidDel="00000000" w:rsidP="00000000" w:rsidRDefault="00000000" w:rsidRPr="00000000" w14:paraId="00000009">
            <w:pPr>
              <w:contextualSpacing w:val="0"/>
              <w:rPr>
                <w:b w:val="1"/>
              </w:rPr>
            </w:pPr>
            <w:r w:rsidDel="00000000" w:rsidR="00000000" w:rsidRPr="00000000">
              <w:rPr>
                <w:b w:val="1"/>
                <w:rtl w:val="0"/>
              </w:rPr>
              <w:t xml:space="preserve">Single Cab</w:t>
            </w:r>
          </w:p>
        </w:tc>
        <w:tc>
          <w:tcPr>
            <w:tcBorders>
              <w:top w:color="000000" w:space="0" w:sz="0" w:val="nil"/>
              <w:left w:color="000000" w:space="0" w:sz="0" w:val="nil"/>
              <w:bottom w:color="000000" w:space="0" w:sz="8" w:val="single"/>
              <w:right w:color="000000" w:space="0" w:sz="8" w:val="single"/>
            </w:tcBorders>
            <w:shd w:fill="ffc000" w:val="clear"/>
            <w:tcMar>
              <w:top w:w="20.0" w:type="dxa"/>
              <w:left w:w="20.0" w:type="dxa"/>
              <w:bottom w:w="20.0" w:type="dxa"/>
              <w:right w:w="20.0" w:type="dxa"/>
            </w:tcMar>
            <w:vAlign w:val="center"/>
          </w:tcPr>
          <w:p w:rsidR="00000000" w:rsidDel="00000000" w:rsidP="00000000" w:rsidRDefault="00000000" w:rsidRPr="00000000" w14:paraId="0000000A">
            <w:pPr>
              <w:contextualSpacing w:val="0"/>
              <w:rPr>
                <w:b w:val="1"/>
              </w:rPr>
            </w:pPr>
            <w:r w:rsidDel="00000000" w:rsidR="00000000" w:rsidRPr="00000000">
              <w:rPr>
                <w:b w:val="1"/>
                <w:rtl w:val="0"/>
              </w:rPr>
              <w:t xml:space="preserve">Double Cab</w:t>
            </w:r>
          </w:p>
        </w:tc>
        <w:tc>
          <w:tcPr>
            <w:tcBorders>
              <w:top w:color="000000" w:space="0" w:sz="0" w:val="nil"/>
              <w:left w:color="000000" w:space="0" w:sz="0" w:val="nil"/>
              <w:bottom w:color="000000" w:space="0" w:sz="8" w:val="single"/>
              <w:right w:color="000000" w:space="0" w:sz="8" w:val="single"/>
            </w:tcBorders>
            <w:shd w:fill="ffc000" w:val="clear"/>
            <w:tcMar>
              <w:top w:w="100.0" w:type="dxa"/>
              <w:left w:w="100.0" w:type="dxa"/>
              <w:bottom w:w="100.0" w:type="dxa"/>
              <w:right w:w="100.0" w:type="dxa"/>
            </w:tcMar>
            <w:vAlign w:val="center"/>
          </w:tcPr>
          <w:p w:rsidR="00000000" w:rsidDel="00000000" w:rsidP="00000000" w:rsidRDefault="00000000" w:rsidRPr="00000000" w14:paraId="0000000B">
            <w:pPr>
              <w:contextualSpacing w:val="0"/>
              <w:rPr>
                <w:b w:val="1"/>
              </w:rPr>
            </w:pPr>
            <w:r w:rsidDel="00000000" w:rsidR="00000000" w:rsidRPr="00000000">
              <w:rPr>
                <w:b w:val="1"/>
                <w:rtl w:val="0"/>
              </w:rPr>
              <w:t xml:space="preserve">Single Cab</w:t>
            </w:r>
          </w:p>
        </w:tc>
      </w:tr>
      <w:tr>
        <w:trPr>
          <w:trHeight w:val="540" w:hRule="atLeast"/>
        </w:trPr>
        <w:tc>
          <w:tcPr>
            <w:tcBorders>
              <w:top w:color="000000" w:space="0" w:sz="0" w:val="nil"/>
              <w:left w:color="000000" w:space="0" w:sz="8" w:val="single"/>
              <w:bottom w:color="000000" w:space="0" w:sz="8" w:val="single"/>
              <w:right w:color="000000" w:space="0" w:sz="8" w:val="single"/>
            </w:tcBorders>
            <w:shd w:fill="ffc000" w:val="clear"/>
            <w:tcMar>
              <w:top w:w="100.0" w:type="dxa"/>
              <w:left w:w="100.0" w:type="dxa"/>
              <w:bottom w:w="100.0" w:type="dxa"/>
              <w:right w:w="100.0" w:type="dxa"/>
            </w:tcMar>
            <w:vAlign w:val="center"/>
          </w:tcPr>
          <w:p w:rsidR="00000000" w:rsidDel="00000000" w:rsidP="00000000" w:rsidRDefault="00000000" w:rsidRPr="00000000" w14:paraId="0000000C">
            <w:pPr>
              <w:contextualSpacing w:val="0"/>
              <w:rPr>
                <w:b w:val="1"/>
              </w:rPr>
            </w:pPr>
            <w:r w:rsidDel="00000000" w:rsidR="00000000" w:rsidRPr="00000000">
              <w:rPr>
                <w:b w:val="1"/>
                <w:rtl w:val="0"/>
              </w:rPr>
              <w:t xml:space="preserve">Frame Length</w:t>
            </w:r>
          </w:p>
        </w:tc>
        <w:tc>
          <w:tcPr>
            <w:tcBorders>
              <w:top w:color="000000" w:space="0" w:sz="0" w:val="nil"/>
              <w:left w:color="000000" w:space="0" w:sz="0" w:val="nil"/>
              <w:bottom w:color="000000" w:space="0" w:sz="8" w:val="single"/>
              <w:right w:color="000000" w:space="0" w:sz="8" w:val="single"/>
            </w:tcBorders>
            <w:shd w:fill="ffc000" w:val="clear"/>
            <w:tcMar>
              <w:top w:w="100.0" w:type="dxa"/>
              <w:left w:w="100.0" w:type="dxa"/>
              <w:bottom w:w="100.0" w:type="dxa"/>
              <w:right w:w="100.0" w:type="dxa"/>
            </w:tcMar>
            <w:vAlign w:val="center"/>
          </w:tcPr>
          <w:p w:rsidR="00000000" w:rsidDel="00000000" w:rsidP="00000000" w:rsidRDefault="00000000" w:rsidRPr="00000000" w14:paraId="0000000D">
            <w:pPr>
              <w:contextualSpacing w:val="0"/>
              <w:rPr>
                <w:b w:val="1"/>
              </w:rPr>
            </w:pPr>
            <w:r w:rsidDel="00000000" w:rsidR="00000000" w:rsidRPr="00000000">
              <w:rPr>
                <w:b w:val="1"/>
                <w:rtl w:val="0"/>
              </w:rPr>
              <w:t xml:space="preserve">LWB</w:t>
            </w:r>
          </w:p>
        </w:tc>
        <w:tc>
          <w:tcPr>
            <w:tcBorders>
              <w:top w:color="000000" w:space="0" w:sz="0" w:val="nil"/>
              <w:left w:color="000000" w:space="0" w:sz="0" w:val="nil"/>
              <w:bottom w:color="000000" w:space="0" w:sz="8" w:val="single"/>
              <w:right w:color="000000" w:space="0" w:sz="8" w:val="single"/>
            </w:tcBorders>
            <w:shd w:fill="ffc000" w:val="clear"/>
            <w:tcMar>
              <w:top w:w="20.0" w:type="dxa"/>
              <w:left w:w="20.0" w:type="dxa"/>
              <w:bottom w:w="20.0" w:type="dxa"/>
              <w:right w:w="20.0" w:type="dxa"/>
            </w:tcMar>
            <w:vAlign w:val="center"/>
          </w:tcPr>
          <w:p w:rsidR="00000000" w:rsidDel="00000000" w:rsidP="00000000" w:rsidRDefault="00000000" w:rsidRPr="00000000" w14:paraId="0000000E">
            <w:pPr>
              <w:contextualSpacing w:val="0"/>
              <w:rPr>
                <w:b w:val="1"/>
              </w:rPr>
            </w:pPr>
            <w:r w:rsidDel="00000000" w:rsidR="00000000" w:rsidRPr="00000000">
              <w:rPr>
                <w:b w:val="1"/>
                <w:rtl w:val="0"/>
              </w:rPr>
              <w:t xml:space="preserve">LWB</w:t>
            </w:r>
          </w:p>
        </w:tc>
        <w:tc>
          <w:tcPr>
            <w:tcBorders>
              <w:top w:color="000000" w:space="0" w:sz="0" w:val="nil"/>
              <w:left w:color="000000" w:space="0" w:sz="0" w:val="nil"/>
              <w:bottom w:color="000000" w:space="0" w:sz="8" w:val="single"/>
              <w:right w:color="000000" w:space="0" w:sz="8" w:val="single"/>
            </w:tcBorders>
            <w:shd w:fill="ffc000" w:val="clear"/>
            <w:tcMar>
              <w:top w:w="100.0" w:type="dxa"/>
              <w:left w:w="100.0" w:type="dxa"/>
              <w:bottom w:w="100.0" w:type="dxa"/>
              <w:right w:w="100.0" w:type="dxa"/>
            </w:tcMar>
            <w:vAlign w:val="center"/>
          </w:tcPr>
          <w:p w:rsidR="00000000" w:rsidDel="00000000" w:rsidP="00000000" w:rsidRDefault="00000000" w:rsidRPr="00000000" w14:paraId="0000000F">
            <w:pPr>
              <w:contextualSpacing w:val="0"/>
              <w:rPr>
                <w:b w:val="1"/>
              </w:rPr>
            </w:pPr>
            <w:r w:rsidDel="00000000" w:rsidR="00000000" w:rsidRPr="00000000">
              <w:rPr>
                <w:b w:val="1"/>
                <w:rtl w:val="0"/>
              </w:rPr>
              <w:t xml:space="preserve">LWB</w:t>
            </w:r>
          </w:p>
        </w:tc>
      </w:tr>
      <w:tr>
        <w:trPr>
          <w:trHeight w:val="54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10">
            <w:pPr>
              <w:contextualSpacing w:val="0"/>
              <w:rPr>
                <w:b w:val="1"/>
              </w:rPr>
            </w:pPr>
            <w:r w:rsidDel="00000000" w:rsidR="00000000" w:rsidRPr="00000000">
              <w:rPr>
                <w:b w:val="1"/>
                <w:rtl w:val="0"/>
              </w:rPr>
              <w:t xml:space="preserve">(X) Wheel Base (mm)</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11">
            <w:pPr>
              <w:contextualSpacing w:val="0"/>
              <w:rPr>
                <w:b w:val="1"/>
              </w:rPr>
            </w:pPr>
            <w:r w:rsidDel="00000000" w:rsidR="00000000" w:rsidRPr="00000000">
              <w:rPr>
                <w:b w:val="1"/>
                <w:rtl w:val="0"/>
              </w:rPr>
              <w:t xml:space="preserve">3400</w:t>
            </w:r>
          </w:p>
        </w:tc>
        <w:tc>
          <w:tcPr>
            <w:tcBorders>
              <w:top w:color="000000" w:space="0" w:sz="0" w:val="nil"/>
              <w:left w:color="000000" w:space="0" w:sz="0" w:val="nil"/>
              <w:bottom w:color="000000" w:space="0" w:sz="8" w:val="single"/>
              <w:right w:color="000000" w:space="0" w:sz="8" w:val="single"/>
            </w:tcBorders>
            <w:tcMar>
              <w:top w:w="20.0" w:type="dxa"/>
              <w:left w:w="20.0" w:type="dxa"/>
              <w:bottom w:w="20.0" w:type="dxa"/>
              <w:right w:w="20.0" w:type="dxa"/>
            </w:tcMar>
            <w:vAlign w:val="center"/>
          </w:tcPr>
          <w:p w:rsidR="00000000" w:rsidDel="00000000" w:rsidP="00000000" w:rsidRDefault="00000000" w:rsidRPr="00000000" w14:paraId="00000012">
            <w:pPr>
              <w:contextualSpacing w:val="0"/>
              <w:rPr>
                <w:b w:val="1"/>
              </w:rPr>
            </w:pPr>
            <w:r w:rsidDel="00000000" w:rsidR="00000000" w:rsidRPr="00000000">
              <w:rPr>
                <w:b w:val="1"/>
                <w:rtl w:val="0"/>
              </w:rPr>
              <w:t xml:space="preserve">3400</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13">
            <w:pPr>
              <w:contextualSpacing w:val="0"/>
              <w:rPr>
                <w:b w:val="1"/>
              </w:rPr>
            </w:pPr>
            <w:r w:rsidDel="00000000" w:rsidR="00000000" w:rsidRPr="00000000">
              <w:rPr>
                <w:b w:val="1"/>
                <w:rtl w:val="0"/>
              </w:rPr>
              <w:t xml:space="preserve">3400</w:t>
            </w:r>
          </w:p>
        </w:tc>
      </w:tr>
      <w:tr>
        <w:trPr>
          <w:trHeight w:val="54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14">
            <w:pPr>
              <w:contextualSpacing w:val="0"/>
              <w:rPr>
                <w:b w:val="1"/>
              </w:rPr>
            </w:pPr>
            <w:r w:rsidDel="00000000" w:rsidR="00000000" w:rsidRPr="00000000">
              <w:rPr>
                <w:b w:val="1"/>
                <w:rtl w:val="0"/>
              </w:rPr>
              <w:t xml:space="preserve">(A) Internal Length (mm)</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15">
            <w:pPr>
              <w:contextualSpacing w:val="0"/>
              <w:rPr>
                <w:b w:val="1"/>
              </w:rPr>
            </w:pPr>
            <w:r w:rsidDel="00000000" w:rsidR="00000000" w:rsidRPr="00000000">
              <w:rPr>
                <w:b w:val="1"/>
                <w:rtl w:val="0"/>
              </w:rPr>
              <w:t xml:space="preserve">3003</w:t>
            </w:r>
          </w:p>
        </w:tc>
        <w:tc>
          <w:tcPr>
            <w:tcBorders>
              <w:top w:color="000000" w:space="0" w:sz="0" w:val="nil"/>
              <w:left w:color="000000" w:space="0" w:sz="0" w:val="nil"/>
              <w:bottom w:color="000000" w:space="0" w:sz="8" w:val="single"/>
              <w:right w:color="000000" w:space="0" w:sz="8" w:val="single"/>
            </w:tcBorders>
            <w:tcMar>
              <w:top w:w="20.0" w:type="dxa"/>
              <w:left w:w="20.0" w:type="dxa"/>
              <w:bottom w:w="20.0" w:type="dxa"/>
              <w:right w:w="20.0" w:type="dxa"/>
            </w:tcMar>
            <w:vAlign w:val="center"/>
          </w:tcPr>
          <w:p w:rsidR="00000000" w:rsidDel="00000000" w:rsidP="00000000" w:rsidRDefault="00000000" w:rsidRPr="00000000" w14:paraId="00000016">
            <w:pPr>
              <w:contextualSpacing w:val="0"/>
              <w:rPr>
                <w:b w:val="1"/>
              </w:rPr>
            </w:pPr>
            <w:r w:rsidDel="00000000" w:rsidR="00000000" w:rsidRPr="00000000">
              <w:rPr>
                <w:b w:val="1"/>
                <w:rtl w:val="0"/>
              </w:rPr>
              <w:t xml:space="preserve">2236</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17">
            <w:pPr>
              <w:contextualSpacing w:val="0"/>
              <w:rPr>
                <w:b w:val="1"/>
              </w:rPr>
            </w:pPr>
            <w:r w:rsidDel="00000000" w:rsidR="00000000" w:rsidRPr="00000000">
              <w:rPr>
                <w:b w:val="1"/>
                <w:rtl w:val="0"/>
              </w:rPr>
              <w:t xml:space="preserve">2710</w:t>
            </w:r>
          </w:p>
        </w:tc>
      </w:tr>
      <w:tr>
        <w:trPr>
          <w:trHeight w:val="54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18">
            <w:pPr>
              <w:contextualSpacing w:val="0"/>
              <w:rPr>
                <w:b w:val="1"/>
              </w:rPr>
            </w:pPr>
            <w:r w:rsidDel="00000000" w:rsidR="00000000" w:rsidRPr="00000000">
              <w:rPr>
                <w:b w:val="1"/>
                <w:rtl w:val="0"/>
              </w:rPr>
              <w:t xml:space="preserve">(B) Internal Width (mm)</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19">
            <w:pPr>
              <w:contextualSpacing w:val="0"/>
              <w:rPr>
                <w:b w:val="1"/>
              </w:rPr>
            </w:pPr>
            <w:r w:rsidDel="00000000" w:rsidR="00000000" w:rsidRPr="00000000">
              <w:rPr>
                <w:b w:val="1"/>
                <w:rtl w:val="0"/>
              </w:rPr>
              <w:t xml:space="preserve">1868</w:t>
            </w:r>
          </w:p>
        </w:tc>
        <w:tc>
          <w:tcPr>
            <w:tcBorders>
              <w:top w:color="000000" w:space="0" w:sz="0" w:val="nil"/>
              <w:left w:color="000000" w:space="0" w:sz="0" w:val="nil"/>
              <w:bottom w:color="000000" w:space="0" w:sz="8" w:val="single"/>
              <w:right w:color="000000" w:space="0" w:sz="8" w:val="single"/>
            </w:tcBorders>
            <w:tcMar>
              <w:top w:w="20.0" w:type="dxa"/>
              <w:left w:w="20.0" w:type="dxa"/>
              <w:bottom w:w="20.0" w:type="dxa"/>
              <w:right w:w="20.0" w:type="dxa"/>
            </w:tcMar>
            <w:vAlign w:val="center"/>
          </w:tcPr>
          <w:p w:rsidR="00000000" w:rsidDel="00000000" w:rsidP="00000000" w:rsidRDefault="00000000" w:rsidRPr="00000000" w14:paraId="0000001A">
            <w:pPr>
              <w:contextualSpacing w:val="0"/>
              <w:rPr>
                <w:b w:val="1"/>
              </w:rPr>
            </w:pPr>
            <w:r w:rsidDel="00000000" w:rsidR="00000000" w:rsidRPr="00000000">
              <w:rPr>
                <w:b w:val="1"/>
                <w:rtl w:val="0"/>
              </w:rPr>
              <w:t xml:space="preserve">1868</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1B">
            <w:pPr>
              <w:contextualSpacing w:val="0"/>
              <w:rPr>
                <w:b w:val="1"/>
              </w:rPr>
            </w:pPr>
            <w:r w:rsidDel="00000000" w:rsidR="00000000" w:rsidRPr="00000000">
              <w:rPr>
                <w:b w:val="1"/>
                <w:rtl w:val="0"/>
              </w:rPr>
              <w:t xml:space="preserve">1868</w:t>
            </w:r>
          </w:p>
        </w:tc>
      </w:tr>
      <w:tr>
        <w:trPr>
          <w:trHeight w:val="54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1C">
            <w:pPr>
              <w:contextualSpacing w:val="0"/>
              <w:rPr>
                <w:b w:val="1"/>
              </w:rPr>
            </w:pPr>
            <w:r w:rsidDel="00000000" w:rsidR="00000000" w:rsidRPr="00000000">
              <w:rPr>
                <w:b w:val="1"/>
                <w:rtl w:val="0"/>
              </w:rPr>
              <w:t xml:space="preserve">(B) External Width (mm)</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1D">
            <w:pPr>
              <w:contextualSpacing w:val="0"/>
              <w:rPr>
                <w:b w:val="1"/>
              </w:rPr>
            </w:pPr>
            <w:r w:rsidDel="00000000" w:rsidR="00000000" w:rsidRPr="00000000">
              <w:rPr>
                <w:b w:val="1"/>
                <w:rtl w:val="0"/>
              </w:rPr>
              <w:t xml:space="preserve">1999</w:t>
            </w:r>
          </w:p>
        </w:tc>
        <w:tc>
          <w:tcPr>
            <w:tcBorders>
              <w:top w:color="000000" w:space="0" w:sz="0" w:val="nil"/>
              <w:left w:color="000000" w:space="0" w:sz="0" w:val="nil"/>
              <w:bottom w:color="000000" w:space="0" w:sz="8" w:val="single"/>
              <w:right w:color="000000" w:space="0" w:sz="8" w:val="single"/>
            </w:tcBorders>
            <w:tcMar>
              <w:top w:w="20.0" w:type="dxa"/>
              <w:left w:w="20.0" w:type="dxa"/>
              <w:bottom w:w="20.0" w:type="dxa"/>
              <w:right w:w="20.0" w:type="dxa"/>
            </w:tcMar>
            <w:vAlign w:val="center"/>
          </w:tcPr>
          <w:p w:rsidR="00000000" w:rsidDel="00000000" w:rsidP="00000000" w:rsidRDefault="00000000" w:rsidRPr="00000000" w14:paraId="0000001E">
            <w:pPr>
              <w:contextualSpacing w:val="0"/>
              <w:rPr>
                <w:b w:val="1"/>
              </w:rPr>
            </w:pPr>
            <w:r w:rsidDel="00000000" w:rsidR="00000000" w:rsidRPr="00000000">
              <w:rPr>
                <w:b w:val="1"/>
                <w:rtl w:val="0"/>
              </w:rPr>
              <w:t xml:space="preserve">1999</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1F">
            <w:pPr>
              <w:contextualSpacing w:val="0"/>
              <w:rPr>
                <w:b w:val="1"/>
              </w:rPr>
            </w:pPr>
            <w:r w:rsidDel="00000000" w:rsidR="00000000" w:rsidRPr="00000000">
              <w:rPr>
                <w:b w:val="1"/>
                <w:rtl w:val="0"/>
              </w:rPr>
              <w:t xml:space="preserve">1999</w:t>
            </w:r>
          </w:p>
        </w:tc>
      </w:tr>
      <w:tr>
        <w:trPr>
          <w:trHeight w:val="54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20">
            <w:pPr>
              <w:contextualSpacing w:val="0"/>
              <w:rPr>
                <w:b w:val="1"/>
              </w:rPr>
            </w:pPr>
            <w:r w:rsidDel="00000000" w:rsidR="00000000" w:rsidRPr="00000000">
              <w:rPr>
                <w:b w:val="1"/>
                <w:rtl w:val="0"/>
              </w:rPr>
              <w:t xml:space="preserve">(C) Sideboard Height (mm)</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21">
            <w:pPr>
              <w:contextualSpacing w:val="0"/>
              <w:rPr>
                <w:b w:val="1"/>
              </w:rPr>
            </w:pPr>
            <w:r w:rsidDel="00000000" w:rsidR="00000000" w:rsidRPr="00000000">
              <w:rPr>
                <w:b w:val="1"/>
                <w:rtl w:val="0"/>
              </w:rPr>
              <w:t xml:space="preserve">400</w:t>
            </w:r>
          </w:p>
        </w:tc>
        <w:tc>
          <w:tcPr>
            <w:tcBorders>
              <w:top w:color="000000" w:space="0" w:sz="0" w:val="nil"/>
              <w:left w:color="000000" w:space="0" w:sz="0" w:val="nil"/>
              <w:bottom w:color="000000" w:space="0" w:sz="8" w:val="single"/>
              <w:right w:color="000000" w:space="0" w:sz="8" w:val="single"/>
            </w:tcBorders>
            <w:tcMar>
              <w:top w:w="20.0" w:type="dxa"/>
              <w:left w:w="20.0" w:type="dxa"/>
              <w:bottom w:w="20.0" w:type="dxa"/>
              <w:right w:w="20.0" w:type="dxa"/>
            </w:tcMar>
            <w:vAlign w:val="center"/>
          </w:tcPr>
          <w:p w:rsidR="00000000" w:rsidDel="00000000" w:rsidP="00000000" w:rsidRDefault="00000000" w:rsidRPr="00000000" w14:paraId="00000022">
            <w:pPr>
              <w:contextualSpacing w:val="0"/>
              <w:rPr>
                <w:b w:val="1"/>
              </w:rPr>
            </w:pPr>
            <w:r w:rsidDel="00000000" w:rsidR="00000000" w:rsidRPr="00000000">
              <w:rPr>
                <w:b w:val="1"/>
                <w:rtl w:val="0"/>
              </w:rPr>
              <w:t xml:space="preserve">400</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23">
            <w:pPr>
              <w:contextualSpacing w:val="0"/>
              <w:rPr>
                <w:b w:val="1"/>
              </w:rPr>
            </w:pPr>
            <w:r w:rsidDel="00000000" w:rsidR="00000000" w:rsidRPr="00000000">
              <w:rPr>
                <w:b w:val="1"/>
                <w:rtl w:val="0"/>
              </w:rPr>
              <w:t xml:space="preserve">400</w:t>
            </w:r>
          </w:p>
        </w:tc>
      </w:tr>
      <w:tr>
        <w:trPr>
          <w:trHeight w:val="54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24">
            <w:pPr>
              <w:contextualSpacing w:val="0"/>
              <w:rPr>
                <w:b w:val="1"/>
              </w:rPr>
            </w:pPr>
            <w:r w:rsidDel="00000000" w:rsidR="00000000" w:rsidRPr="00000000">
              <w:rPr>
                <w:b w:val="1"/>
                <w:rtl w:val="0"/>
              </w:rPr>
              <w:t xml:space="preserve">(D) Tail-board Height (mm)</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25">
            <w:pPr>
              <w:contextualSpacing w:val="0"/>
              <w:rPr>
                <w:b w:val="1"/>
              </w:rPr>
            </w:pPr>
            <w:r w:rsidDel="00000000" w:rsidR="00000000" w:rsidRPr="00000000">
              <w:rPr>
                <w:b w:val="1"/>
                <w:rtl w:val="0"/>
              </w:rPr>
              <w:t xml:space="preserve">400</w:t>
            </w:r>
          </w:p>
        </w:tc>
        <w:tc>
          <w:tcPr>
            <w:tcBorders>
              <w:top w:color="000000" w:space="0" w:sz="0" w:val="nil"/>
              <w:left w:color="000000" w:space="0" w:sz="0" w:val="nil"/>
              <w:bottom w:color="000000" w:space="0" w:sz="8" w:val="single"/>
              <w:right w:color="000000" w:space="0" w:sz="8" w:val="single"/>
            </w:tcBorders>
            <w:tcMar>
              <w:top w:w="20.0" w:type="dxa"/>
              <w:left w:w="20.0" w:type="dxa"/>
              <w:bottom w:w="20.0" w:type="dxa"/>
              <w:right w:w="20.0" w:type="dxa"/>
            </w:tcMar>
            <w:vAlign w:val="center"/>
          </w:tcPr>
          <w:p w:rsidR="00000000" w:rsidDel="00000000" w:rsidP="00000000" w:rsidRDefault="00000000" w:rsidRPr="00000000" w14:paraId="00000026">
            <w:pPr>
              <w:contextualSpacing w:val="0"/>
              <w:rPr>
                <w:b w:val="1"/>
              </w:rPr>
            </w:pPr>
            <w:r w:rsidDel="00000000" w:rsidR="00000000" w:rsidRPr="00000000">
              <w:rPr>
                <w:b w:val="1"/>
                <w:rtl w:val="0"/>
              </w:rPr>
              <w:t xml:space="preserve">400</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27">
            <w:pPr>
              <w:contextualSpacing w:val="0"/>
              <w:rPr>
                <w:b w:val="1"/>
              </w:rPr>
            </w:pPr>
            <w:r w:rsidDel="00000000" w:rsidR="00000000" w:rsidRPr="00000000">
              <w:rPr>
                <w:b w:val="1"/>
                <w:rtl w:val="0"/>
              </w:rPr>
              <w:t xml:space="preserve">600</w:t>
            </w:r>
          </w:p>
        </w:tc>
      </w:tr>
      <w:tr>
        <w:trPr>
          <w:trHeight w:val="54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28">
            <w:pPr>
              <w:contextualSpacing w:val="0"/>
              <w:rPr>
                <w:b w:val="1"/>
              </w:rPr>
            </w:pPr>
            <w:r w:rsidDel="00000000" w:rsidR="00000000" w:rsidRPr="00000000">
              <w:rPr>
                <w:b w:val="1"/>
                <w:rtl w:val="0"/>
              </w:rPr>
              <w:t xml:space="preserve">(E) Overall Length (mm)</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29">
            <w:pPr>
              <w:contextualSpacing w:val="0"/>
              <w:rPr>
                <w:b w:val="1"/>
              </w:rPr>
            </w:pPr>
            <w:r w:rsidDel="00000000" w:rsidR="00000000" w:rsidRPr="00000000">
              <w:rPr>
                <w:b w:val="1"/>
                <w:rtl w:val="0"/>
              </w:rPr>
              <w:t xml:space="preserve">5664</w:t>
            </w:r>
          </w:p>
        </w:tc>
        <w:tc>
          <w:tcPr>
            <w:tcBorders>
              <w:top w:color="000000" w:space="0" w:sz="0" w:val="nil"/>
              <w:left w:color="000000" w:space="0" w:sz="0" w:val="nil"/>
              <w:bottom w:color="000000" w:space="0" w:sz="8" w:val="single"/>
              <w:right w:color="000000" w:space="0" w:sz="8" w:val="single"/>
            </w:tcBorders>
            <w:tcMar>
              <w:top w:w="20.0" w:type="dxa"/>
              <w:left w:w="20.0" w:type="dxa"/>
              <w:bottom w:w="20.0" w:type="dxa"/>
              <w:right w:w="20.0" w:type="dxa"/>
            </w:tcMar>
            <w:vAlign w:val="center"/>
          </w:tcPr>
          <w:p w:rsidR="00000000" w:rsidDel="00000000" w:rsidP="00000000" w:rsidRDefault="00000000" w:rsidRPr="00000000" w14:paraId="0000002A">
            <w:pPr>
              <w:contextualSpacing w:val="0"/>
              <w:rPr>
                <w:b w:val="1"/>
              </w:rPr>
            </w:pPr>
            <w:r w:rsidDel="00000000" w:rsidR="00000000" w:rsidRPr="00000000">
              <w:rPr>
                <w:b w:val="1"/>
                <w:rtl w:val="0"/>
              </w:rPr>
              <w:t xml:space="preserve">5664</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2B">
            <w:pPr>
              <w:contextualSpacing w:val="0"/>
              <w:rPr>
                <w:b w:val="1"/>
              </w:rPr>
            </w:pPr>
            <w:r w:rsidDel="00000000" w:rsidR="00000000" w:rsidRPr="00000000">
              <w:rPr>
                <w:b w:val="1"/>
                <w:rtl w:val="0"/>
              </w:rPr>
              <w:t xml:space="preserve">5375</w:t>
            </w:r>
          </w:p>
        </w:tc>
      </w:tr>
    </w:tbl>
    <w:p w:rsidR="00000000" w:rsidDel="00000000" w:rsidP="00000000" w:rsidRDefault="00000000" w:rsidRPr="00000000" w14:paraId="0000002C">
      <w:pPr>
        <w:spacing w:line="360" w:lineRule="auto"/>
        <w:contextualSpacing w:val="0"/>
        <w:rPr/>
      </w:pPr>
      <w:r w:rsidDel="00000000" w:rsidR="00000000" w:rsidRPr="00000000">
        <w:rPr>
          <w:rtl w:val="0"/>
        </w:rPr>
        <w:t xml:space="preserve"> </w:t>
      </w:r>
    </w:p>
    <w:p w:rsidR="00000000" w:rsidDel="00000000" w:rsidP="00000000" w:rsidRDefault="00000000" w:rsidRPr="00000000" w14:paraId="0000002D">
      <w:pPr>
        <w:spacing w:line="360" w:lineRule="auto"/>
        <w:contextualSpacing w:val="0"/>
        <w:rPr/>
      </w:pPr>
      <w:r w:rsidDel="00000000" w:rsidR="00000000" w:rsidRPr="00000000">
        <w:rPr>
          <w:rtl w:val="0"/>
        </w:rPr>
        <w:t xml:space="preserve"> </w:t>
      </w:r>
    </w:p>
    <w:p w:rsidR="00000000" w:rsidDel="00000000" w:rsidP="00000000" w:rsidRDefault="00000000" w:rsidRPr="00000000" w14:paraId="0000002E">
      <w:pPr>
        <w:spacing w:line="360" w:lineRule="auto"/>
        <w:contextualSpacing w:val="0"/>
        <w:rPr/>
      </w:pPr>
      <w:r w:rsidDel="00000000" w:rsidR="00000000" w:rsidRPr="00000000">
        <w:rPr>
          <w:rtl w:val="0"/>
        </w:rPr>
        <w:t xml:space="preserve">Our new T6-Pick-up and T6-Tip-up bodies supplement the Volkswagen Transporter chassis, enabling end users, for the first time ever, to benefit from increased payloads of 1tonne and 1.2tonne respectively, which until now was restricted to larger vehicles.  </w:t>
      </w:r>
    </w:p>
    <w:p w:rsidR="00000000" w:rsidDel="00000000" w:rsidP="00000000" w:rsidRDefault="00000000" w:rsidRPr="00000000" w14:paraId="0000002F">
      <w:pPr>
        <w:spacing w:line="360" w:lineRule="auto"/>
        <w:contextualSpacing w:val="0"/>
        <w:rPr/>
      </w:pPr>
      <w:r w:rsidDel="00000000" w:rsidR="00000000" w:rsidRPr="00000000">
        <w:rPr>
          <w:rtl w:val="0"/>
        </w:rPr>
        <w:t xml:space="preserve"> </w:t>
      </w:r>
    </w:p>
    <w:p w:rsidR="00000000" w:rsidDel="00000000" w:rsidP="00000000" w:rsidRDefault="00000000" w:rsidRPr="00000000" w14:paraId="00000030">
      <w:pPr>
        <w:spacing w:line="360" w:lineRule="auto"/>
        <w:contextualSpacing w:val="0"/>
        <w:rPr/>
      </w:pPr>
      <w:r w:rsidDel="00000000" w:rsidR="00000000" w:rsidRPr="00000000">
        <w:rPr>
          <w:rtl w:val="0"/>
        </w:rPr>
        <w:t xml:space="preserve">The new bodies have been designed exclusively for the Transporter chassis aesthetics with tubular bulkheads and underbody footsteps aligning with the cab’s profile, and with multiple load securing points incorporated into the new design of both the deck and bulkhead, providing users with an extensive provision of payload security and safety.</w:t>
      </w:r>
    </w:p>
    <w:p w:rsidR="00000000" w:rsidDel="00000000" w:rsidP="00000000" w:rsidRDefault="00000000" w:rsidRPr="00000000" w14:paraId="00000031">
      <w:pPr>
        <w:spacing w:line="360" w:lineRule="auto"/>
        <w:contextualSpacing w:val="0"/>
        <w:rPr/>
      </w:pPr>
      <w:r w:rsidDel="00000000" w:rsidR="00000000" w:rsidRPr="00000000">
        <w:rPr>
          <w:rtl w:val="0"/>
        </w:rPr>
        <w:t xml:space="preserve"> </w:t>
      </w:r>
    </w:p>
    <w:p w:rsidR="00000000" w:rsidDel="00000000" w:rsidP="00000000" w:rsidRDefault="00000000" w:rsidRPr="00000000" w14:paraId="00000032">
      <w:pPr>
        <w:spacing w:line="360" w:lineRule="auto"/>
        <w:contextualSpacing w:val="0"/>
        <w:rPr/>
      </w:pPr>
      <w:r w:rsidDel="00000000" w:rsidR="00000000" w:rsidRPr="00000000">
        <w:rPr>
          <w:rtl w:val="0"/>
        </w:rPr>
        <w:t xml:space="preserve">Our in-house technical team has designed the new bodies to be even more agile than before and compatible, initially with the VW Transporter, with a modified version potentially to be scaled across the manufacturer’s Crafter chassis with additional payload and volume options.</w:t>
      </w:r>
    </w:p>
    <w:p w:rsidR="00000000" w:rsidDel="00000000" w:rsidP="00000000" w:rsidRDefault="00000000" w:rsidRPr="00000000" w14:paraId="00000033">
      <w:pPr>
        <w:spacing w:line="360" w:lineRule="auto"/>
        <w:contextualSpacing w:val="0"/>
        <w:rPr/>
      </w:pPr>
      <w:r w:rsidDel="00000000" w:rsidR="00000000" w:rsidRPr="00000000">
        <w:rPr>
          <w:rtl w:val="0"/>
        </w:rPr>
        <w:t xml:space="preserve"> </w:t>
      </w:r>
    </w:p>
    <w:p w:rsidR="00000000" w:rsidDel="00000000" w:rsidP="00000000" w:rsidRDefault="00000000" w:rsidRPr="00000000" w14:paraId="00000034">
      <w:pPr>
        <w:spacing w:line="360" w:lineRule="auto"/>
        <w:contextualSpacing w:val="0"/>
        <w:rPr/>
      </w:pPr>
      <w:r w:rsidDel="00000000" w:rsidR="00000000" w:rsidRPr="00000000">
        <w:rPr>
          <w:rtl w:val="0"/>
        </w:rPr>
        <w:t xml:space="preserve"> </w:t>
      </w:r>
    </w:p>
    <w:p w:rsidR="00000000" w:rsidDel="00000000" w:rsidP="00000000" w:rsidRDefault="00000000" w:rsidRPr="00000000" w14:paraId="00000035">
      <w:pPr>
        <w:spacing w:line="360" w:lineRule="auto"/>
        <w:contextualSpacing w:val="0"/>
        <w:rPr/>
      </w:pPr>
      <w:r w:rsidDel="00000000" w:rsidR="00000000" w:rsidRPr="00000000">
        <w:rPr>
          <w:rtl w:val="0"/>
        </w:rPr>
        <w:t xml:space="preserve"> </w:t>
      </w:r>
    </w:p>
    <w:p w:rsidR="00000000" w:rsidDel="00000000" w:rsidP="00000000" w:rsidRDefault="00000000" w:rsidRPr="00000000" w14:paraId="00000036">
      <w:pPr>
        <w:spacing w:line="360" w:lineRule="auto"/>
        <w:contextualSpacing w:val="0"/>
        <w:rPr/>
      </w:pPr>
      <w:r w:rsidDel="00000000" w:rsidR="00000000" w:rsidRPr="00000000">
        <w:rPr>
          <w:rtl w:val="0"/>
        </w:rPr>
        <w:t xml:space="preserve"> </w:t>
      </w:r>
    </w:p>
    <w:p w:rsidR="00000000" w:rsidDel="00000000" w:rsidP="00000000" w:rsidRDefault="00000000" w:rsidRPr="00000000" w14:paraId="00000037">
      <w:pPr>
        <w:spacing w:line="360" w:lineRule="auto"/>
        <w:contextualSpacing w:val="0"/>
        <w:rPr/>
      </w:pPr>
      <w:r w:rsidDel="00000000" w:rsidR="00000000" w:rsidRPr="00000000">
        <w:rPr>
          <w:rtl w:val="0"/>
        </w:rPr>
        <w:t xml:space="preserve"> </w:t>
      </w:r>
    </w:p>
    <w:p w:rsidR="00000000" w:rsidDel="00000000" w:rsidP="00000000" w:rsidRDefault="00000000" w:rsidRPr="00000000" w14:paraId="00000038">
      <w:pPr>
        <w:spacing w:line="360" w:lineRule="auto"/>
        <w:contextualSpacing w:val="0"/>
        <w:rPr/>
      </w:pPr>
      <w:r w:rsidDel="00000000" w:rsidR="00000000" w:rsidRPr="00000000">
        <w:rPr>
          <w:rtl w:val="0"/>
        </w:rPr>
        <w:t xml:space="preserve"> </w:t>
      </w:r>
    </w:p>
    <w:p w:rsidR="00000000" w:rsidDel="00000000" w:rsidP="00000000" w:rsidRDefault="00000000" w:rsidRPr="00000000" w14:paraId="00000039">
      <w:pPr>
        <w:spacing w:line="360" w:lineRule="auto"/>
        <w:contextualSpacing w:val="0"/>
        <w:jc w:val="center"/>
        <w:rPr>
          <w:b w:val="1"/>
          <w:color w:val="bf8f00"/>
          <w:sz w:val="32"/>
          <w:szCs w:val="32"/>
        </w:rPr>
      </w:pPr>
      <w:r w:rsidDel="00000000" w:rsidR="00000000" w:rsidRPr="00000000">
        <w:rPr>
          <w:b w:val="1"/>
          <w:color w:val="bf8f00"/>
          <w:sz w:val="32"/>
          <w:szCs w:val="32"/>
          <w:rtl w:val="0"/>
        </w:rPr>
        <w:t xml:space="preserve">Pick-up | Tip-up</w:t>
      </w:r>
    </w:p>
    <w:p w:rsidR="00000000" w:rsidDel="00000000" w:rsidP="00000000" w:rsidRDefault="00000000" w:rsidRPr="00000000" w14:paraId="0000003A">
      <w:pPr>
        <w:spacing w:line="360" w:lineRule="auto"/>
        <w:contextualSpacing w:val="0"/>
        <w:jc w:val="center"/>
        <w:rPr>
          <w:b w:val="1"/>
          <w:color w:val="bf8f00"/>
          <w:sz w:val="32"/>
          <w:szCs w:val="32"/>
        </w:rPr>
      </w:pPr>
      <w:r w:rsidDel="00000000" w:rsidR="00000000" w:rsidRPr="00000000">
        <w:rPr>
          <w:rtl w:val="0"/>
        </w:rPr>
      </w:r>
    </w:p>
    <w:p w:rsidR="00000000" w:rsidDel="00000000" w:rsidP="00000000" w:rsidRDefault="00000000" w:rsidRPr="00000000" w14:paraId="0000003B">
      <w:pPr>
        <w:contextualSpacing w:val="0"/>
        <w:rPr>
          <w:b w:val="1"/>
        </w:rPr>
      </w:pPr>
      <w:r w:rsidDel="00000000" w:rsidR="00000000" w:rsidRPr="00000000">
        <w:rPr>
          <w:b w:val="1"/>
          <w:rtl w:val="0"/>
        </w:rPr>
        <w:t xml:space="preserve">Core Features | Pick-up:</w:t>
      </w:r>
    </w:p>
    <w:p w:rsidR="00000000" w:rsidDel="00000000" w:rsidP="00000000" w:rsidRDefault="00000000" w:rsidRPr="00000000" w14:paraId="0000003C">
      <w:pPr>
        <w:contextualSpacing w:val="0"/>
        <w:rPr>
          <w:b w:val="1"/>
          <w:sz w:val="16"/>
          <w:szCs w:val="16"/>
        </w:rPr>
      </w:pPr>
      <w:r w:rsidDel="00000000" w:rsidR="00000000" w:rsidRPr="00000000">
        <w:rPr>
          <w:b w:val="1"/>
          <w:sz w:val="16"/>
          <w:szCs w:val="16"/>
          <w:rtl w:val="0"/>
        </w:rPr>
        <w:t xml:space="preserve"> </w:t>
      </w:r>
    </w:p>
    <w:p w:rsidR="00000000" w:rsidDel="00000000" w:rsidP="00000000" w:rsidRDefault="00000000" w:rsidRPr="00000000" w14:paraId="0000003D">
      <w:pPr>
        <w:spacing w:line="360" w:lineRule="auto"/>
        <w:ind w:left="1080" w:hanging="360"/>
        <w:contextualSpacing w:val="0"/>
        <w:rPr/>
      </w:pPr>
      <w:r w:rsidDel="00000000" w:rsidR="00000000" w:rsidRPr="00000000">
        <w:rPr>
          <w:rtl w:val="0"/>
        </w:rPr>
        <w:t xml:space="preserve">ü  Payload: Up to 1.2tonne</w:t>
      </w:r>
    </w:p>
    <w:p w:rsidR="00000000" w:rsidDel="00000000" w:rsidP="00000000" w:rsidRDefault="00000000" w:rsidRPr="00000000" w14:paraId="0000003E">
      <w:pPr>
        <w:spacing w:line="360" w:lineRule="auto"/>
        <w:ind w:left="1080" w:hanging="360"/>
        <w:contextualSpacing w:val="0"/>
        <w:rPr/>
      </w:pPr>
      <w:r w:rsidDel="00000000" w:rsidR="00000000" w:rsidRPr="00000000">
        <w:rPr>
          <w:rtl w:val="0"/>
        </w:rPr>
        <w:t xml:space="preserve">ü  LWB Single and Double cab</w:t>
      </w:r>
    </w:p>
    <w:p w:rsidR="00000000" w:rsidDel="00000000" w:rsidP="00000000" w:rsidRDefault="00000000" w:rsidRPr="00000000" w14:paraId="0000003F">
      <w:pPr>
        <w:spacing w:line="360" w:lineRule="auto"/>
        <w:ind w:left="1080" w:hanging="360"/>
        <w:contextualSpacing w:val="0"/>
        <w:rPr/>
      </w:pPr>
      <w:r w:rsidDel="00000000" w:rsidR="00000000" w:rsidRPr="00000000">
        <w:rPr>
          <w:rtl w:val="0"/>
        </w:rPr>
        <w:t xml:space="preserve">ü  Conforms to the latest European Standards for strength of body structure and load securing points</w:t>
      </w:r>
    </w:p>
    <w:p w:rsidR="00000000" w:rsidDel="00000000" w:rsidP="00000000" w:rsidRDefault="00000000" w:rsidRPr="00000000" w14:paraId="00000040">
      <w:pPr>
        <w:spacing w:line="360" w:lineRule="auto"/>
        <w:ind w:left="1080" w:hanging="360"/>
        <w:contextualSpacing w:val="0"/>
        <w:rPr/>
      </w:pPr>
      <w:r w:rsidDel="00000000" w:rsidR="00000000" w:rsidRPr="00000000">
        <w:rPr>
          <w:rtl w:val="0"/>
        </w:rPr>
        <w:t xml:space="preserve">ü  Not available from any other UK manufacturer</w:t>
      </w:r>
    </w:p>
    <w:p w:rsidR="00000000" w:rsidDel="00000000" w:rsidP="00000000" w:rsidRDefault="00000000" w:rsidRPr="00000000" w14:paraId="00000041">
      <w:pPr>
        <w:spacing w:line="360" w:lineRule="auto"/>
        <w:ind w:left="1080" w:hanging="360"/>
        <w:contextualSpacing w:val="0"/>
        <w:rPr/>
      </w:pPr>
      <w:r w:rsidDel="00000000" w:rsidR="00000000" w:rsidRPr="00000000">
        <w:rPr>
          <w:rtl w:val="0"/>
        </w:rPr>
        <w:t xml:space="preserve">ü  Cab coloured body side and tail boards</w:t>
      </w:r>
    </w:p>
    <w:p w:rsidR="00000000" w:rsidDel="00000000" w:rsidP="00000000" w:rsidRDefault="00000000" w:rsidRPr="00000000" w14:paraId="00000042">
      <w:pPr>
        <w:spacing w:line="360" w:lineRule="auto"/>
        <w:ind w:left="1080" w:hanging="360"/>
        <w:contextualSpacing w:val="0"/>
        <w:rPr/>
      </w:pPr>
      <w:r w:rsidDel="00000000" w:rsidR="00000000" w:rsidRPr="00000000">
        <w:rPr>
          <w:rtl w:val="0"/>
        </w:rPr>
        <w:t xml:space="preserve">ü  Contoured tubular bulkheads and underbody footsteps for complementary cab profile</w:t>
      </w:r>
    </w:p>
    <w:p w:rsidR="00000000" w:rsidDel="00000000" w:rsidP="00000000" w:rsidRDefault="00000000" w:rsidRPr="00000000" w14:paraId="00000043">
      <w:pPr>
        <w:spacing w:line="360" w:lineRule="auto"/>
        <w:ind w:left="1080" w:hanging="360"/>
        <w:contextualSpacing w:val="0"/>
        <w:rPr/>
      </w:pPr>
      <w:r w:rsidDel="00000000" w:rsidR="00000000" w:rsidRPr="00000000">
        <w:rPr>
          <w:rtl w:val="0"/>
        </w:rPr>
        <w:t xml:space="preserve">ü  Multiple provision for access to the platforms</w:t>
      </w:r>
    </w:p>
    <w:p w:rsidR="00000000" w:rsidDel="00000000" w:rsidP="00000000" w:rsidRDefault="00000000" w:rsidRPr="00000000" w14:paraId="00000044">
      <w:pPr>
        <w:spacing w:line="360" w:lineRule="auto"/>
        <w:ind w:left="1080" w:hanging="360"/>
        <w:contextualSpacing w:val="0"/>
        <w:rPr/>
      </w:pPr>
      <w:r w:rsidDel="00000000" w:rsidR="00000000" w:rsidRPr="00000000">
        <w:rPr>
          <w:rtl w:val="0"/>
        </w:rPr>
        <w:t xml:space="preserve">ü  Flat, unobstructed load areas of over 1.8m wide (1878mm) and 3m long</w:t>
      </w:r>
    </w:p>
    <w:p w:rsidR="00000000" w:rsidDel="00000000" w:rsidP="00000000" w:rsidRDefault="00000000" w:rsidRPr="00000000" w14:paraId="00000045">
      <w:pPr>
        <w:spacing w:line="360" w:lineRule="auto"/>
        <w:ind w:left="1080" w:hanging="360"/>
        <w:contextualSpacing w:val="0"/>
        <w:rPr/>
      </w:pPr>
      <w:r w:rsidDel="00000000" w:rsidR="00000000" w:rsidRPr="00000000">
        <w:rPr>
          <w:rtl w:val="0"/>
        </w:rPr>
        <w:t xml:space="preserve">ü  Multiple load securing points incorporated in both deck and bulkhead</w:t>
      </w:r>
    </w:p>
    <w:p w:rsidR="00000000" w:rsidDel="00000000" w:rsidP="00000000" w:rsidRDefault="00000000" w:rsidRPr="00000000" w14:paraId="00000046">
      <w:pPr>
        <w:spacing w:line="360" w:lineRule="auto"/>
        <w:ind w:left="1080" w:hanging="360"/>
        <w:contextualSpacing w:val="0"/>
        <w:rPr/>
      </w:pPr>
      <w:r w:rsidDel="00000000" w:rsidR="00000000" w:rsidRPr="00000000">
        <w:rPr>
          <w:rtl w:val="0"/>
        </w:rPr>
        <w:t xml:space="preserve">ü  Bolted construction of all elements for efficient maintenance and accident repair</w:t>
      </w:r>
    </w:p>
    <w:p w:rsidR="00000000" w:rsidDel="00000000" w:rsidP="00000000" w:rsidRDefault="00000000" w:rsidRPr="00000000" w14:paraId="00000047">
      <w:pPr>
        <w:spacing w:line="360" w:lineRule="auto"/>
        <w:ind w:left="1080" w:hanging="360"/>
        <w:contextualSpacing w:val="0"/>
        <w:rPr/>
      </w:pPr>
      <w:r w:rsidDel="00000000" w:rsidR="00000000" w:rsidRPr="00000000">
        <w:rPr>
          <w:rtl w:val="0"/>
        </w:rPr>
        <w:t xml:space="preserve">ü  Extensive use of non-ferrous materials</w:t>
      </w:r>
    </w:p>
    <w:p w:rsidR="00000000" w:rsidDel="00000000" w:rsidP="00000000" w:rsidRDefault="00000000" w:rsidRPr="00000000" w14:paraId="00000048">
      <w:pPr>
        <w:spacing w:line="360" w:lineRule="auto"/>
        <w:ind w:left="1080" w:hanging="360"/>
        <w:contextualSpacing w:val="0"/>
        <w:rPr/>
      </w:pPr>
      <w:r w:rsidDel="00000000" w:rsidR="00000000" w:rsidRPr="00000000">
        <w:rPr>
          <w:rtl w:val="0"/>
        </w:rPr>
        <w:t xml:space="preserve">ü  Electrophoretic finishing to achieve highest standard available across the market for corrosion resistance and component recyclability</w:t>
      </w:r>
    </w:p>
    <w:p w:rsidR="00000000" w:rsidDel="00000000" w:rsidP="00000000" w:rsidRDefault="00000000" w:rsidRPr="00000000" w14:paraId="00000049">
      <w:pPr>
        <w:spacing w:line="360" w:lineRule="auto"/>
        <w:ind w:left="1080" w:hanging="360"/>
        <w:contextualSpacing w:val="0"/>
        <w:rPr/>
      </w:pPr>
      <w:r w:rsidDel="00000000" w:rsidR="00000000" w:rsidRPr="00000000">
        <w:rPr>
          <w:rtl w:val="0"/>
        </w:rPr>
        <w:t xml:space="preserve">ü  Suitable for all climates.</w:t>
      </w:r>
    </w:p>
    <w:p w:rsidR="00000000" w:rsidDel="00000000" w:rsidP="00000000" w:rsidRDefault="00000000" w:rsidRPr="00000000" w14:paraId="0000004A">
      <w:pPr>
        <w:contextualSpacing w:val="0"/>
        <w:rPr>
          <w:b w:val="1"/>
        </w:rPr>
      </w:pPr>
      <w:r w:rsidDel="00000000" w:rsidR="00000000" w:rsidRPr="00000000">
        <w:rPr>
          <w:b w:val="1"/>
          <w:rtl w:val="0"/>
        </w:rPr>
        <w:t xml:space="preserve"> </w:t>
      </w:r>
    </w:p>
    <w:p w:rsidR="00000000" w:rsidDel="00000000" w:rsidP="00000000" w:rsidRDefault="00000000" w:rsidRPr="00000000" w14:paraId="0000004B">
      <w:pPr>
        <w:contextualSpacing w:val="0"/>
        <w:rPr>
          <w:b w:val="1"/>
        </w:rPr>
      </w:pPr>
      <w:r w:rsidDel="00000000" w:rsidR="00000000" w:rsidRPr="00000000">
        <w:rPr>
          <w:b w:val="1"/>
          <w:rtl w:val="0"/>
        </w:rPr>
        <w:t xml:space="preserve">Core Features | Tip-up:</w:t>
      </w:r>
    </w:p>
    <w:p w:rsidR="00000000" w:rsidDel="00000000" w:rsidP="00000000" w:rsidRDefault="00000000" w:rsidRPr="00000000" w14:paraId="0000004C">
      <w:pPr>
        <w:contextualSpacing w:val="0"/>
        <w:rPr>
          <w:b w:val="1"/>
          <w:sz w:val="16"/>
          <w:szCs w:val="16"/>
        </w:rPr>
      </w:pPr>
      <w:r w:rsidDel="00000000" w:rsidR="00000000" w:rsidRPr="00000000">
        <w:rPr>
          <w:b w:val="1"/>
          <w:sz w:val="16"/>
          <w:szCs w:val="16"/>
          <w:rtl w:val="0"/>
        </w:rPr>
        <w:t xml:space="preserve"> </w:t>
      </w:r>
    </w:p>
    <w:p w:rsidR="00000000" w:rsidDel="00000000" w:rsidP="00000000" w:rsidRDefault="00000000" w:rsidRPr="00000000" w14:paraId="0000004D">
      <w:pPr>
        <w:spacing w:line="360" w:lineRule="auto"/>
        <w:ind w:left="1080" w:hanging="360"/>
        <w:contextualSpacing w:val="0"/>
        <w:rPr/>
      </w:pPr>
      <w:r w:rsidDel="00000000" w:rsidR="00000000" w:rsidRPr="00000000">
        <w:rPr>
          <w:rtl w:val="0"/>
        </w:rPr>
        <w:t xml:space="preserve">ü  Payload: Up to 1tonne</w:t>
      </w:r>
    </w:p>
    <w:p w:rsidR="00000000" w:rsidDel="00000000" w:rsidP="00000000" w:rsidRDefault="00000000" w:rsidRPr="00000000" w14:paraId="0000004E">
      <w:pPr>
        <w:spacing w:line="360" w:lineRule="auto"/>
        <w:ind w:left="1080" w:hanging="360"/>
        <w:contextualSpacing w:val="0"/>
        <w:rPr/>
      </w:pPr>
      <w:r w:rsidDel="00000000" w:rsidR="00000000" w:rsidRPr="00000000">
        <w:rPr>
          <w:rtl w:val="0"/>
        </w:rPr>
        <w:t xml:space="preserve">ü  LWB Single Cab</w:t>
      </w:r>
    </w:p>
    <w:p w:rsidR="00000000" w:rsidDel="00000000" w:rsidP="00000000" w:rsidRDefault="00000000" w:rsidRPr="00000000" w14:paraId="0000004F">
      <w:pPr>
        <w:spacing w:line="360" w:lineRule="auto"/>
        <w:ind w:left="1080" w:hanging="360"/>
        <w:contextualSpacing w:val="0"/>
        <w:rPr/>
      </w:pPr>
      <w:r w:rsidDel="00000000" w:rsidR="00000000" w:rsidRPr="00000000">
        <w:rPr>
          <w:rtl w:val="0"/>
        </w:rPr>
        <w:t xml:space="preserve">ü  Conforms to the latest European Standards for strength of body structure and load securing points</w:t>
      </w:r>
    </w:p>
    <w:p w:rsidR="00000000" w:rsidDel="00000000" w:rsidP="00000000" w:rsidRDefault="00000000" w:rsidRPr="00000000" w14:paraId="00000050">
      <w:pPr>
        <w:spacing w:line="360" w:lineRule="auto"/>
        <w:ind w:left="1080" w:hanging="360"/>
        <w:contextualSpacing w:val="0"/>
        <w:rPr/>
      </w:pPr>
      <w:r w:rsidDel="00000000" w:rsidR="00000000" w:rsidRPr="00000000">
        <w:rPr>
          <w:rtl w:val="0"/>
        </w:rPr>
        <w:t xml:space="preserve">ü  Not available from any other European manufacturer</w:t>
      </w:r>
    </w:p>
    <w:p w:rsidR="00000000" w:rsidDel="00000000" w:rsidP="00000000" w:rsidRDefault="00000000" w:rsidRPr="00000000" w14:paraId="00000051">
      <w:pPr>
        <w:spacing w:line="360" w:lineRule="auto"/>
        <w:ind w:left="1080" w:hanging="360"/>
        <w:contextualSpacing w:val="0"/>
        <w:rPr/>
      </w:pPr>
      <w:r w:rsidDel="00000000" w:rsidR="00000000" w:rsidRPr="00000000">
        <w:rPr>
          <w:rtl w:val="0"/>
        </w:rPr>
        <w:t xml:space="preserve">ü  Cab coloured body sides with tail board in high visibility finish</w:t>
      </w:r>
    </w:p>
    <w:p w:rsidR="00000000" w:rsidDel="00000000" w:rsidP="00000000" w:rsidRDefault="00000000" w:rsidRPr="00000000" w14:paraId="00000052">
      <w:pPr>
        <w:spacing w:line="360" w:lineRule="auto"/>
        <w:ind w:left="1080" w:hanging="360"/>
        <w:contextualSpacing w:val="0"/>
        <w:rPr/>
      </w:pPr>
      <w:r w:rsidDel="00000000" w:rsidR="00000000" w:rsidRPr="00000000">
        <w:rPr>
          <w:rtl w:val="0"/>
        </w:rPr>
        <w:t xml:space="preserve">ü  Contoured tubular bulkheads and underbody footsteps for complementary cab profile</w:t>
      </w:r>
    </w:p>
    <w:p w:rsidR="00000000" w:rsidDel="00000000" w:rsidP="00000000" w:rsidRDefault="00000000" w:rsidRPr="00000000" w14:paraId="00000053">
      <w:pPr>
        <w:spacing w:line="360" w:lineRule="auto"/>
        <w:ind w:left="1080" w:hanging="360"/>
        <w:contextualSpacing w:val="0"/>
        <w:rPr/>
      </w:pPr>
      <w:r w:rsidDel="00000000" w:rsidR="00000000" w:rsidRPr="00000000">
        <w:rPr>
          <w:rtl w:val="0"/>
        </w:rPr>
        <w:t xml:space="preserve">ü  Multiple provision for access to the platforms</w:t>
      </w:r>
    </w:p>
    <w:p w:rsidR="00000000" w:rsidDel="00000000" w:rsidP="00000000" w:rsidRDefault="00000000" w:rsidRPr="00000000" w14:paraId="00000054">
      <w:pPr>
        <w:spacing w:line="360" w:lineRule="auto"/>
        <w:ind w:left="1080" w:hanging="360"/>
        <w:contextualSpacing w:val="0"/>
        <w:rPr/>
      </w:pPr>
      <w:r w:rsidDel="00000000" w:rsidR="00000000" w:rsidRPr="00000000">
        <w:rPr>
          <w:rtl w:val="0"/>
        </w:rPr>
        <w:t xml:space="preserve">ü  Flat, unobstructed load areas of over 1.8m wide (1878mm) and 2.9m long</w:t>
      </w:r>
    </w:p>
    <w:p w:rsidR="00000000" w:rsidDel="00000000" w:rsidP="00000000" w:rsidRDefault="00000000" w:rsidRPr="00000000" w14:paraId="00000055">
      <w:pPr>
        <w:spacing w:line="360" w:lineRule="auto"/>
        <w:ind w:left="1080" w:hanging="360"/>
        <w:contextualSpacing w:val="0"/>
        <w:rPr/>
      </w:pPr>
      <w:r w:rsidDel="00000000" w:rsidR="00000000" w:rsidRPr="00000000">
        <w:rPr>
          <w:rtl w:val="0"/>
        </w:rPr>
        <w:t xml:space="preserve">ü  Multiple load securing points incorporated in both deck and bulkhead</w:t>
      </w:r>
    </w:p>
    <w:p w:rsidR="00000000" w:rsidDel="00000000" w:rsidP="00000000" w:rsidRDefault="00000000" w:rsidRPr="00000000" w14:paraId="00000056">
      <w:pPr>
        <w:spacing w:line="360" w:lineRule="auto"/>
        <w:ind w:left="1080" w:hanging="360"/>
        <w:contextualSpacing w:val="0"/>
        <w:rPr/>
      </w:pPr>
      <w:r w:rsidDel="00000000" w:rsidR="00000000" w:rsidRPr="00000000">
        <w:rPr>
          <w:rtl w:val="0"/>
        </w:rPr>
        <w:t xml:space="preserve">ü  Bolted construction of all elements for efficient maintenance and accident repair</w:t>
      </w:r>
    </w:p>
    <w:p w:rsidR="00000000" w:rsidDel="00000000" w:rsidP="00000000" w:rsidRDefault="00000000" w:rsidRPr="00000000" w14:paraId="00000057">
      <w:pPr>
        <w:spacing w:line="360" w:lineRule="auto"/>
        <w:ind w:left="1080" w:hanging="360"/>
        <w:contextualSpacing w:val="0"/>
        <w:rPr/>
      </w:pPr>
      <w:r w:rsidDel="00000000" w:rsidR="00000000" w:rsidRPr="00000000">
        <w:rPr>
          <w:rtl w:val="0"/>
        </w:rPr>
        <w:t xml:space="preserve">ü  Extensive use of non-ferrous materials</w:t>
      </w:r>
    </w:p>
    <w:p w:rsidR="00000000" w:rsidDel="00000000" w:rsidP="00000000" w:rsidRDefault="00000000" w:rsidRPr="00000000" w14:paraId="00000058">
      <w:pPr>
        <w:spacing w:line="360" w:lineRule="auto"/>
        <w:ind w:left="1080" w:hanging="360"/>
        <w:contextualSpacing w:val="0"/>
        <w:rPr/>
      </w:pPr>
      <w:r w:rsidDel="00000000" w:rsidR="00000000" w:rsidRPr="00000000">
        <w:rPr>
          <w:rtl w:val="0"/>
        </w:rPr>
        <w:t xml:space="preserve">ü  Electrophoretic finishing to achieve highest standard available across the market for corrosion resistance and component recyclability</w:t>
      </w:r>
    </w:p>
    <w:p w:rsidR="00000000" w:rsidDel="00000000" w:rsidP="00000000" w:rsidRDefault="00000000" w:rsidRPr="00000000" w14:paraId="00000059">
      <w:pPr>
        <w:spacing w:line="360" w:lineRule="auto"/>
        <w:ind w:left="1080" w:hanging="360"/>
        <w:contextualSpacing w:val="0"/>
        <w:rPr/>
      </w:pPr>
      <w:r w:rsidDel="00000000" w:rsidR="00000000" w:rsidRPr="00000000">
        <w:rPr>
          <w:rtl w:val="0"/>
        </w:rPr>
        <w:t xml:space="preserve">ü  Suitable for all climates.</w:t>
      </w:r>
    </w:p>
    <w:p w:rsidR="00000000" w:rsidDel="00000000" w:rsidP="00000000" w:rsidRDefault="00000000" w:rsidRPr="00000000" w14:paraId="0000005A">
      <w:pPr>
        <w:contextualSpacing w:val="0"/>
        <w:rPr/>
      </w:pPr>
      <w:r w:rsidDel="00000000" w:rsidR="00000000" w:rsidRPr="00000000">
        <w:rPr>
          <w:rtl w:val="0"/>
        </w:rPr>
      </w:r>
    </w:p>
    <w:sectPr>
      <w:pgSz w:h="16834" w:w="11909"/>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